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78" w:rsidRPr="005641F7" w:rsidRDefault="005F2078" w:rsidP="005F2078">
      <w:pPr>
        <w:tabs>
          <w:tab w:val="left" w:pos="3045"/>
        </w:tabs>
        <w:rPr>
          <w:rFonts w:ascii="Roboto" w:hAnsi="Roboto"/>
          <w:b/>
          <w:color w:val="FF0000"/>
          <w:sz w:val="32"/>
          <w:szCs w:val="32"/>
        </w:rPr>
      </w:pPr>
      <w:r w:rsidRPr="005641F7">
        <w:rPr>
          <w:rFonts w:ascii="Roboto" w:hAnsi="Roboto"/>
          <w:b/>
          <w:color w:val="FF0000"/>
          <w:sz w:val="32"/>
          <w:szCs w:val="32"/>
        </w:rPr>
        <w:t>The difference $66 can make</w:t>
      </w:r>
    </w:p>
    <w:tbl>
      <w:tblPr>
        <w:tblStyle w:val="TableGrid"/>
        <w:tblpPr w:leftFromText="180" w:rightFromText="180" w:vertAnchor="text" w:horzAnchor="page" w:tblpX="7471" w:tblpY="-22"/>
        <w:tblW w:w="0" w:type="auto"/>
        <w:tblLook w:val="04A0" w:firstRow="1" w:lastRow="0" w:firstColumn="1" w:lastColumn="0" w:noHBand="0" w:noVBand="1"/>
      </w:tblPr>
      <w:tblGrid>
        <w:gridCol w:w="4235"/>
      </w:tblGrid>
      <w:tr w:rsidR="005F2078" w:rsidTr="002725DB">
        <w:trPr>
          <w:trHeight w:val="4040"/>
        </w:trPr>
        <w:tc>
          <w:tcPr>
            <w:tcW w:w="4235" w:type="dxa"/>
          </w:tcPr>
          <w:p w:rsidR="005F2078" w:rsidRPr="005641F7" w:rsidRDefault="005F2078" w:rsidP="002725DB">
            <w:pPr>
              <w:tabs>
                <w:tab w:val="left" w:pos="3045"/>
              </w:tabs>
              <w:rPr>
                <w:b/>
                <w:sz w:val="28"/>
                <w:szCs w:val="28"/>
              </w:rPr>
            </w:pPr>
            <w:r w:rsidRPr="005641F7">
              <w:rPr>
                <w:b/>
                <w:sz w:val="28"/>
                <w:szCs w:val="28"/>
              </w:rPr>
              <w:t>Service Line Coverage</w:t>
            </w:r>
          </w:p>
          <w:p w:rsidR="005F2078" w:rsidRPr="005641F7" w:rsidRDefault="005F2078" w:rsidP="002725DB">
            <w:pPr>
              <w:tabs>
                <w:tab w:val="left" w:pos="3045"/>
              </w:tabs>
              <w:rPr>
                <w:sz w:val="24"/>
                <w:szCs w:val="24"/>
              </w:rPr>
            </w:pPr>
          </w:p>
          <w:p w:rsidR="005F2078" w:rsidRPr="005641F7" w:rsidRDefault="005F2078" w:rsidP="002725DB">
            <w:pPr>
              <w:tabs>
                <w:tab w:val="left" w:pos="3045"/>
              </w:tabs>
              <w:rPr>
                <w:sz w:val="24"/>
                <w:szCs w:val="24"/>
              </w:rPr>
            </w:pPr>
            <w:r w:rsidRPr="005641F7">
              <w:rPr>
                <w:sz w:val="24"/>
                <w:szCs w:val="24"/>
              </w:rPr>
              <w:t>The Service Line Coverage endorsement covers damaged exterior underground services lines, including:</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Water</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Sewer</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Electricity</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Natural gas</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Drainage</w:t>
            </w:r>
          </w:p>
          <w:p w:rsidR="005F2078" w:rsidRPr="005641F7" w:rsidRDefault="005F2078" w:rsidP="005F2078">
            <w:pPr>
              <w:pStyle w:val="ListParagraph"/>
              <w:numPr>
                <w:ilvl w:val="0"/>
                <w:numId w:val="1"/>
              </w:numPr>
              <w:tabs>
                <w:tab w:val="left" w:pos="3045"/>
              </w:tabs>
              <w:rPr>
                <w:sz w:val="24"/>
                <w:szCs w:val="24"/>
              </w:rPr>
            </w:pPr>
            <w:r w:rsidRPr="005641F7">
              <w:rPr>
                <w:sz w:val="24"/>
                <w:szCs w:val="24"/>
              </w:rPr>
              <w:t>Data and communications</w:t>
            </w:r>
          </w:p>
        </w:tc>
      </w:tr>
      <w:tr w:rsidR="005F2078" w:rsidTr="002725DB">
        <w:trPr>
          <w:trHeight w:val="1046"/>
        </w:trPr>
        <w:tc>
          <w:tcPr>
            <w:tcW w:w="4235" w:type="dxa"/>
          </w:tcPr>
          <w:p w:rsidR="005F2078" w:rsidRPr="005641F7" w:rsidRDefault="005F2078" w:rsidP="002725DB">
            <w:pPr>
              <w:tabs>
                <w:tab w:val="left" w:pos="3045"/>
              </w:tabs>
              <w:rPr>
                <w:sz w:val="24"/>
                <w:szCs w:val="24"/>
              </w:rPr>
            </w:pPr>
          </w:p>
          <w:p w:rsidR="005F2078" w:rsidRPr="005641F7" w:rsidRDefault="005F2078" w:rsidP="002725DB">
            <w:pPr>
              <w:tabs>
                <w:tab w:val="left" w:pos="3045"/>
              </w:tabs>
              <w:rPr>
                <w:b/>
                <w:sz w:val="28"/>
                <w:szCs w:val="28"/>
              </w:rPr>
            </w:pPr>
            <w:r w:rsidRPr="005641F7">
              <w:rPr>
                <w:b/>
                <w:sz w:val="28"/>
                <w:szCs w:val="28"/>
              </w:rPr>
              <w:t>Home Systems Protection</w:t>
            </w:r>
          </w:p>
          <w:p w:rsidR="005F2078" w:rsidRPr="005641F7" w:rsidRDefault="005F2078" w:rsidP="002725DB">
            <w:pPr>
              <w:tabs>
                <w:tab w:val="left" w:pos="3045"/>
              </w:tabs>
              <w:rPr>
                <w:sz w:val="24"/>
                <w:szCs w:val="24"/>
              </w:rPr>
            </w:pPr>
          </w:p>
          <w:p w:rsidR="005F2078" w:rsidRPr="005641F7" w:rsidRDefault="005F2078" w:rsidP="002725DB">
            <w:pPr>
              <w:tabs>
                <w:tab w:val="left" w:pos="3045"/>
              </w:tabs>
              <w:rPr>
                <w:sz w:val="24"/>
                <w:szCs w:val="24"/>
              </w:rPr>
            </w:pPr>
            <w:r w:rsidRPr="005641F7">
              <w:rPr>
                <w:sz w:val="24"/>
                <w:szCs w:val="24"/>
              </w:rPr>
              <w:t>The Home Systems Protection endorsement covers unexpected breakdown of permanently installed:</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Heating system(furnace/boiler)</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Air Conditioning system</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Electrical system</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Permanently installed appliances</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Generators</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Well pumps</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In ground pool pumps and filtration equipment</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Stair lifts</w:t>
            </w:r>
          </w:p>
          <w:p w:rsidR="005F2078" w:rsidRPr="005641F7" w:rsidRDefault="005F2078" w:rsidP="005F2078">
            <w:pPr>
              <w:pStyle w:val="ListParagraph"/>
              <w:numPr>
                <w:ilvl w:val="0"/>
                <w:numId w:val="2"/>
              </w:numPr>
              <w:tabs>
                <w:tab w:val="left" w:pos="3045"/>
              </w:tabs>
              <w:rPr>
                <w:sz w:val="24"/>
                <w:szCs w:val="24"/>
              </w:rPr>
            </w:pPr>
            <w:r w:rsidRPr="005641F7">
              <w:rPr>
                <w:sz w:val="24"/>
                <w:szCs w:val="24"/>
              </w:rPr>
              <w:t>Alarm Systems</w:t>
            </w:r>
          </w:p>
        </w:tc>
      </w:tr>
    </w:tbl>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Few things strike fear into the heart of a homeowner like discovering a large puddle of water on their dry lawn from a broken waterline.</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b/>
        </w:rPr>
        <w:t>Mike Holland</w:t>
      </w:r>
      <w:r w:rsidRPr="005641F7">
        <w:rPr>
          <w:rFonts w:ascii="Times New Roman" w:hAnsi="Times New Roman" w:cs="Times New Roman"/>
        </w:rPr>
        <w:t xml:space="preserve"> knows how frustrating that can be. Which is why he is a fan of the Service Line Coverage endorsement.</w:t>
      </w:r>
    </w:p>
    <w:p w:rsidR="005F2078" w:rsidRPr="005641F7" w:rsidRDefault="005F2078" w:rsidP="005F2078">
      <w:pPr>
        <w:tabs>
          <w:tab w:val="left" w:pos="3045"/>
        </w:tabs>
        <w:spacing w:after="0" w:line="240" w:lineRule="auto"/>
        <w:ind w:left="1440"/>
        <w:rPr>
          <w:rFonts w:ascii="Times New Roman" w:hAnsi="Times New Roman" w:cs="Times New Roman"/>
        </w:rPr>
      </w:pPr>
      <w:bookmarkStart w:id="0" w:name="_GoBack"/>
      <w:bookmarkEnd w:id="0"/>
      <w:r w:rsidRPr="005641F7">
        <w:rPr>
          <w:rFonts w:ascii="Times New Roman" w:hAnsi="Times New Roman" w:cs="Times New Roman"/>
        </w:rPr>
        <w:t xml:space="preserve">“When a customer has a waterline break in their yard, they assume it’s covered by their Homeowners insurance,” says the Savannah, GA., agent. “But that’s not the case. There is no coverage for water lines from the house to the </w:t>
      </w:r>
      <w:r>
        <w:rPr>
          <w:rFonts w:ascii="Times New Roman" w:hAnsi="Times New Roman" w:cs="Times New Roman"/>
        </w:rPr>
        <w:t>s</w:t>
      </w:r>
      <w:r w:rsidRPr="005641F7">
        <w:rPr>
          <w:rFonts w:ascii="Times New Roman" w:hAnsi="Times New Roman" w:cs="Times New Roman"/>
        </w:rPr>
        <w:t xml:space="preserve">treet under Homeowners </w:t>
      </w:r>
      <w:proofErr w:type="spellStart"/>
      <w:r w:rsidRPr="005641F7">
        <w:rPr>
          <w:rFonts w:ascii="Times New Roman" w:hAnsi="Times New Roman" w:cs="Times New Roman"/>
        </w:rPr>
        <w:t>Coverages</w:t>
      </w:r>
      <w:proofErr w:type="spellEnd"/>
      <w:r w:rsidRPr="005641F7">
        <w:rPr>
          <w:rFonts w:ascii="Times New Roman" w:hAnsi="Times New Roman" w:cs="Times New Roman"/>
        </w:rPr>
        <w:t xml:space="preserve"> A or B.”</w:t>
      </w:r>
    </w:p>
    <w:p w:rsidR="005F2078" w:rsidRPr="005641F7" w:rsidRDefault="005F2078" w:rsidP="005F2078">
      <w:pPr>
        <w:tabs>
          <w:tab w:val="left" w:pos="3045"/>
        </w:tabs>
        <w:spacing w:after="0" w:line="240" w:lineRule="auto"/>
        <w:ind w:left="1440"/>
        <w:rPr>
          <w:rFonts w:ascii="Times New Roman" w:hAnsi="Times New Roman" w:cs="Times New Roman"/>
        </w:rPr>
      </w:pPr>
      <w:r w:rsidRPr="005641F7">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56437A5F" wp14:editId="75BA735D">
                <wp:simplePos x="0" y="0"/>
                <wp:positionH relativeFrom="column">
                  <wp:posOffset>-600075</wp:posOffset>
                </wp:positionH>
                <wp:positionV relativeFrom="paragraph">
                  <wp:posOffset>916305</wp:posOffset>
                </wp:positionV>
                <wp:extent cx="1247775" cy="266700"/>
                <wp:effectExtent l="0" t="0" r="9525"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66700"/>
                        </a:xfrm>
                        <a:prstGeom prst="rect">
                          <a:avLst/>
                        </a:prstGeom>
                        <a:solidFill>
                          <a:srgbClr val="FFFFFF"/>
                        </a:solidFill>
                        <a:ln w="9525">
                          <a:noFill/>
                          <a:miter lim="800000"/>
                          <a:headEnd/>
                          <a:tailEnd/>
                        </a:ln>
                      </wps:spPr>
                      <wps:txbx>
                        <w:txbxContent>
                          <w:p w:rsidR="005F2078" w:rsidRPr="0030641E" w:rsidRDefault="005F2078" w:rsidP="005F2078">
                            <w:pPr>
                              <w:tabs>
                                <w:tab w:val="left" w:pos="3045"/>
                              </w:tabs>
                              <w:spacing w:after="0" w:line="240" w:lineRule="auto"/>
                              <w:rPr>
                                <w:rFonts w:ascii="HP Simplified Light" w:hAnsi="HP Simplified Light"/>
                                <w:sz w:val="16"/>
                                <w:szCs w:val="16"/>
                              </w:rPr>
                            </w:pPr>
                            <w:r w:rsidRPr="0030641E">
                              <w:rPr>
                                <w:rFonts w:ascii="HP Simplified Light" w:hAnsi="HP Simplified Light"/>
                                <w:sz w:val="16"/>
                                <w:szCs w:val="16"/>
                              </w:rPr>
                              <w:t xml:space="preserve">Agent Mike Holland  </w:t>
                            </w:r>
                          </w:p>
                          <w:p w:rsidR="005F2078" w:rsidRDefault="005F2078" w:rsidP="005F20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437A5F" id="_x0000_t202" coordsize="21600,21600" o:spt="202" path="m,l,21600r21600,l21600,xe">
                <v:stroke joinstyle="miter"/>
                <v:path gradientshapeok="t" o:connecttype="rect"/>
              </v:shapetype>
              <v:shape id="Text Box 2" o:spid="_x0000_s1026" type="#_x0000_t202" style="position:absolute;left:0;text-align:left;margin-left:-47.25pt;margin-top:72.15pt;width:98.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" stroked="f">
                <v:textbox>
                  <w:txbxContent>
                    <w:p w:rsidR="005F2078" w:rsidRPr="0030641E" w:rsidRDefault="005F2078" w:rsidP="005F2078">
                      <w:pPr>
                        <w:tabs>
                          <w:tab w:val="left" w:pos="3045"/>
                        </w:tabs>
                        <w:spacing w:after="0" w:line="240" w:lineRule="auto"/>
                        <w:rPr>
                          <w:rFonts w:ascii="HP Simplified Light" w:hAnsi="HP Simplified Light"/>
                          <w:sz w:val="16"/>
                          <w:szCs w:val="16"/>
                        </w:rPr>
                      </w:pPr>
                      <w:r w:rsidRPr="0030641E">
                        <w:rPr>
                          <w:rFonts w:ascii="HP Simplified Light" w:hAnsi="HP Simplified Light"/>
                          <w:sz w:val="16"/>
                          <w:szCs w:val="16"/>
                        </w:rPr>
                        <w:t xml:space="preserve">Agent Mike Holland  </w:t>
                      </w:r>
                    </w:p>
                    <w:p w:rsidR="005F2078" w:rsidRDefault="005F2078" w:rsidP="005F2078"/>
                  </w:txbxContent>
                </v:textbox>
                <w10:wrap type="square"/>
              </v:shape>
            </w:pict>
          </mc:Fallback>
        </mc:AlternateContent>
      </w:r>
      <w:r w:rsidRPr="005641F7">
        <w:rPr>
          <w:rFonts w:ascii="Times New Roman" w:hAnsi="Times New Roman" w:cs="Times New Roman"/>
        </w:rPr>
        <w:t xml:space="preserve"> “Depending on the break, the customer usually calls a plumber, who may need to use a backhoe to dig up the broken pipe,” he adds. “If the break is between the water main and the house, it isn’t covered by homeowners insurance or the city. We’ve seen it run from between $3,000 to $5,000 to repair.”</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t>
      </w:r>
      <w:r>
        <w:rPr>
          <w:rFonts w:ascii="Times New Roman" w:hAnsi="Times New Roman" w:cs="Times New Roman"/>
        </w:rPr>
        <w:t xml:space="preserve">  </w:t>
      </w:r>
      <w:r w:rsidRPr="005641F7">
        <w:rPr>
          <w:rFonts w:ascii="Times New Roman" w:hAnsi="Times New Roman" w:cs="Times New Roman"/>
        </w:rPr>
        <w:t xml:space="preserve">To mitigate these kinds of losses, he and his team explain that Service Line Coverage is an available endorsement on the State Farm Homeowners policy for $66 a year with a $500 deductible. </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“We mention this coverage during Simple Conversion appointments,” he says. “I’m not aware of another company that offers it, so it’s definitely a competitive advantage.”</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Mike explains to customers that the claim is investigated by a Hartford Steam Boiler adjustor, not State Farm.</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“We want customers to understand what will happen if they have a claim that qualifies for the coverage.”</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When talking with customers, Mike and his team also mention</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Home Systems Protection Coverage, which also costs around</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$100 annually. “We explain that this endorsement will not apply</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t>
      </w:r>
      <w:proofErr w:type="gramStart"/>
      <w:r w:rsidRPr="005641F7">
        <w:rPr>
          <w:rFonts w:ascii="Times New Roman" w:hAnsi="Times New Roman" w:cs="Times New Roman"/>
        </w:rPr>
        <w:t>if</w:t>
      </w:r>
      <w:proofErr w:type="gramEnd"/>
      <w:r w:rsidRPr="005641F7">
        <w:rPr>
          <w:rFonts w:ascii="Times New Roman" w:hAnsi="Times New Roman" w:cs="Times New Roman"/>
        </w:rPr>
        <w:t xml:space="preserve"> a dishwasher needs to be repaired due to wear and tear,”</w:t>
      </w:r>
    </w:p>
    <w:p w:rsidR="005F2078" w:rsidRPr="005641F7"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w:t>
      </w:r>
      <w:proofErr w:type="gramStart"/>
      <w:r w:rsidRPr="005641F7">
        <w:rPr>
          <w:rFonts w:ascii="Times New Roman" w:hAnsi="Times New Roman" w:cs="Times New Roman"/>
        </w:rPr>
        <w:t>he</w:t>
      </w:r>
      <w:proofErr w:type="gramEnd"/>
      <w:r w:rsidRPr="005641F7">
        <w:rPr>
          <w:rFonts w:ascii="Times New Roman" w:hAnsi="Times New Roman" w:cs="Times New Roman"/>
        </w:rPr>
        <w:t xml:space="preserve"> says. “But if there is an abrupt failure, this coverage may apply.</w:t>
      </w:r>
    </w:p>
    <w:p w:rsidR="005F2078" w:rsidRDefault="005F2078" w:rsidP="005F2078">
      <w:pPr>
        <w:tabs>
          <w:tab w:val="left" w:pos="3045"/>
        </w:tabs>
        <w:spacing w:after="0" w:line="240" w:lineRule="auto"/>
        <w:rPr>
          <w:rFonts w:ascii="Times New Roman" w:hAnsi="Times New Roman" w:cs="Times New Roman"/>
        </w:rPr>
      </w:pPr>
      <w:r w:rsidRPr="005641F7">
        <w:rPr>
          <w:rFonts w:ascii="Times New Roman" w:hAnsi="Times New Roman" w:cs="Times New Roman"/>
        </w:rPr>
        <w:t xml:space="preserve"> “I’ve found that telling customers about these available endorsements is another way of showing the value of having a</w:t>
      </w:r>
    </w:p>
    <w:p w:rsidR="005F2078" w:rsidRPr="005641F7" w:rsidRDefault="005F2078" w:rsidP="005F2078">
      <w:pPr>
        <w:tabs>
          <w:tab w:val="left" w:pos="3045"/>
        </w:tabs>
        <w:spacing w:after="0" w:line="240" w:lineRule="auto"/>
        <w:rPr>
          <w:rFonts w:ascii="Times New Roman" w:hAnsi="Times New Roman" w:cs="Times New Roman"/>
        </w:rPr>
      </w:pPr>
      <w:r>
        <w:rPr>
          <w:rFonts w:ascii="Times New Roman" w:hAnsi="Times New Roman" w:cs="Times New Roman"/>
        </w:rPr>
        <w:t xml:space="preserve"> </w:t>
      </w:r>
      <w:r w:rsidRPr="005641F7">
        <w:rPr>
          <w:rFonts w:ascii="Times New Roman" w:hAnsi="Times New Roman" w:cs="Times New Roman"/>
        </w:rPr>
        <w:t xml:space="preserve"> State Farm agent.”</w:t>
      </w:r>
    </w:p>
    <w:p w:rsidR="0080135B" w:rsidRDefault="0080135B"/>
    <w:sectPr w:rsidR="0080135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2A1" w:rsidRDefault="009C52A1" w:rsidP="005F2078">
      <w:pPr>
        <w:spacing w:after="0" w:line="240" w:lineRule="auto"/>
      </w:pPr>
      <w:r>
        <w:separator/>
      </w:r>
    </w:p>
  </w:endnote>
  <w:endnote w:type="continuationSeparator" w:id="0">
    <w:p w:rsidR="009C52A1" w:rsidRDefault="009C52A1" w:rsidP="005F2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HP Simplified Light">
    <w:panose1 w:val="020B0406020204020204"/>
    <w:charset w:val="00"/>
    <w:family w:val="swiss"/>
    <w:pitch w:val="variable"/>
    <w:sig w:usb0="A00000AF" w:usb1="5000205B" w:usb2="00000000" w:usb3="00000000" w:csb0="00000093" w:csb1="00000000"/>
  </w:font>
  <w:font w:name="Mecherle Sans Light">
    <w:panose1 w:val="00000000000000000000"/>
    <w:charset w:val="00"/>
    <w:family w:val="swiss"/>
    <w:notTrueType/>
    <w:pitch w:val="variable"/>
    <w:sig w:usb0="00000007" w:usb1="00000001"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2A1" w:rsidRDefault="009C52A1" w:rsidP="005F2078">
      <w:pPr>
        <w:spacing w:after="0" w:line="240" w:lineRule="auto"/>
      </w:pPr>
      <w:r>
        <w:separator/>
      </w:r>
    </w:p>
  </w:footnote>
  <w:footnote w:type="continuationSeparator" w:id="0">
    <w:p w:rsidR="009C52A1" w:rsidRDefault="009C52A1" w:rsidP="005F20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78" w:rsidRDefault="005F2078" w:rsidP="005F2078">
    <w:pPr>
      <w:pStyle w:val="Header"/>
      <w:rPr>
        <w:rFonts w:ascii="Roboto" w:hAnsi="Roboto"/>
      </w:rPr>
    </w:pPr>
    <w:r w:rsidRPr="005641F7">
      <w:rPr>
        <w:rFonts w:ascii="Roboto" w:hAnsi="Roboto"/>
        <w:b/>
        <w:noProof/>
      </w:rPr>
      <mc:AlternateContent>
        <mc:Choice Requires="wps">
          <w:drawing>
            <wp:anchor distT="45720" distB="45720" distL="114300" distR="114300" simplePos="0" relativeHeight="251659264" behindDoc="0" locked="0" layoutInCell="1" allowOverlap="1" wp14:anchorId="538D3F8B" wp14:editId="6CCBA3B1">
              <wp:simplePos x="0" y="0"/>
              <wp:positionH relativeFrom="margin">
                <wp:align>center</wp:align>
              </wp:positionH>
              <wp:positionV relativeFrom="paragraph">
                <wp:posOffset>-214400</wp:posOffset>
              </wp:positionV>
              <wp:extent cx="7429500" cy="136207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362075"/>
                      </a:xfrm>
                      <a:prstGeom prst="rect">
                        <a:avLst/>
                      </a:prstGeom>
                      <a:solidFill>
                        <a:srgbClr val="FF0000"/>
                      </a:solidFill>
                      <a:ln w="9525">
                        <a:solidFill>
                          <a:sysClr val="window" lastClr="FFFFFF"/>
                        </a:solidFill>
                        <a:miter lim="800000"/>
                        <a:headEnd/>
                        <a:tailEnd/>
                      </a:ln>
                    </wps:spPr>
                    <wps:txbx>
                      <w:txbxContent>
                        <w:p w:rsidR="005F2078" w:rsidRPr="00AB0EA2" w:rsidRDefault="005F2078" w:rsidP="005F2078">
                          <w:pPr>
                            <w:rPr>
                              <w:rFonts w:ascii="Mecherle Sans Light" w:eastAsia="Arial Unicode MS" w:hAnsi="Mecherle Sans Light" w:cs="Arial"/>
                              <w:color w:val="FFFFFF" w:themeColor="background1"/>
                              <w:sz w:val="16"/>
                              <w:szCs w:val="16"/>
                              <w14:textOutline w14:w="9525" w14:cap="rnd" w14:cmpd="sng" w14:algn="ctr">
                                <w14:solidFill>
                                  <w14:schemeClr w14:val="bg1"/>
                                </w14:solidFill>
                                <w14:prstDash w14:val="solid"/>
                                <w14:bevel/>
                              </w14:textOutline>
                            </w:rPr>
                          </w:pPr>
                        </w:p>
                        <w:p w:rsidR="005F2078" w:rsidRPr="00E73F29" w:rsidRDefault="005F2078" w:rsidP="005F2078">
                          <w:pPr>
                            <w:ind w:left="555"/>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pPr>
                          <w:r>
                            <w:rPr>
                              <w:rFonts w:ascii="Franklin Gothic Medium" w:eastAsia="Arial Unicode MS" w:hAnsi="Franklin Gothic Medium" w:cs="Arial"/>
                              <w:color w:val="FFFFFF" w:themeColor="background1"/>
                              <w:sz w:val="56"/>
                              <w:szCs w:val="56"/>
                              <w14:textOutline w14:w="9525" w14:cap="rnd" w14:cmpd="sng" w14:algn="ctr">
                                <w14:solidFill>
                                  <w14:schemeClr w14:val="bg1"/>
                                </w14:solidFill>
                                <w14:prstDash w14:val="solid"/>
                                <w14:bevel/>
                              </w14:textOutline>
                            </w:rPr>
                            <w:t>S</w:t>
                          </w:r>
                          <w:r w:rsidRPr="00E73F29">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t>e</w:t>
                          </w:r>
                          <w:r>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t>rvice Line Coverage and Home Systems   Protection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8D3F8B" id="_x0000_t202" coordsize="21600,21600" o:spt="202" path="m,l,21600r21600,l21600,xe">
              <v:stroke joinstyle="miter"/>
              <v:path gradientshapeok="t" o:connecttype="rect"/>
            </v:shapetype>
            <v:shape id="_x0000_s1027" type="#_x0000_t202" style="position:absolute;margin-left:0;margin-top:-16.9pt;width:585pt;height:107.2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" fillcolor="red" strokecolor="window">
              <v:textbox>
                <w:txbxContent>
                  <w:p w:rsidR="005F2078" w:rsidRPr="00AB0EA2" w:rsidRDefault="005F2078" w:rsidP="005F2078">
                    <w:pPr>
                      <w:rPr>
                        <w:rFonts w:ascii="Mecherle Sans Light" w:eastAsia="Arial Unicode MS" w:hAnsi="Mecherle Sans Light" w:cs="Arial"/>
                        <w:color w:val="FFFFFF" w:themeColor="background1"/>
                        <w:sz w:val="16"/>
                        <w:szCs w:val="16"/>
                        <w14:textOutline w14:w="9525" w14:cap="rnd" w14:cmpd="sng" w14:algn="ctr">
                          <w14:solidFill>
                            <w14:schemeClr w14:val="bg1"/>
                          </w14:solidFill>
                          <w14:prstDash w14:val="solid"/>
                          <w14:bevel/>
                        </w14:textOutline>
                      </w:rPr>
                    </w:pPr>
                  </w:p>
                  <w:p w:rsidR="005F2078" w:rsidRPr="00E73F29" w:rsidRDefault="005F2078" w:rsidP="005F2078">
                    <w:pPr>
                      <w:ind w:left="555"/>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pPr>
                    <w:r>
                      <w:rPr>
                        <w:rFonts w:ascii="Franklin Gothic Medium" w:eastAsia="Arial Unicode MS" w:hAnsi="Franklin Gothic Medium" w:cs="Arial"/>
                        <w:color w:val="FFFFFF" w:themeColor="background1"/>
                        <w:sz w:val="56"/>
                        <w:szCs w:val="56"/>
                        <w14:textOutline w14:w="9525" w14:cap="rnd" w14:cmpd="sng" w14:algn="ctr">
                          <w14:solidFill>
                            <w14:schemeClr w14:val="bg1"/>
                          </w14:solidFill>
                          <w14:prstDash w14:val="solid"/>
                          <w14:bevel/>
                        </w14:textOutline>
                      </w:rPr>
                      <w:t>S</w:t>
                    </w:r>
                    <w:r w:rsidRPr="00E73F29">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t>e</w:t>
                    </w:r>
                    <w:r>
                      <w:rPr>
                        <w:rFonts w:ascii="Franklin Gothic Medium" w:eastAsia="Arial Unicode MS" w:hAnsi="Franklin Gothic Medium" w:cs="Arial"/>
                        <w:b/>
                        <w:color w:val="FFFFFF" w:themeColor="background1"/>
                        <w:sz w:val="56"/>
                        <w:szCs w:val="56"/>
                        <w14:textOutline w14:w="9525" w14:cap="rnd" w14:cmpd="sng" w14:algn="ctr">
                          <w14:solidFill>
                            <w14:schemeClr w14:val="bg1"/>
                          </w14:solidFill>
                          <w14:prstDash w14:val="solid"/>
                          <w14:bevel/>
                        </w14:textOutline>
                      </w:rPr>
                      <w:t>rvice Line Coverage and Home Systems   Protection</w:t>
                    </w:r>
                  </w:p>
                </w:txbxContent>
              </v:textbox>
              <w10:wrap type="square" anchorx="margin"/>
            </v:shape>
          </w:pict>
        </mc:Fallback>
      </mc:AlternateContent>
    </w:r>
  </w:p>
  <w:p w:rsidR="005F2078" w:rsidRPr="005641F7" w:rsidRDefault="005F2078" w:rsidP="005F2078">
    <w:pPr>
      <w:pStyle w:val="Header"/>
      <w:rPr>
        <w:rFonts w:ascii="Roboto" w:hAnsi="Roboto"/>
      </w:rPr>
    </w:pPr>
    <w:r w:rsidRPr="005641F7">
      <w:rPr>
        <w:rFonts w:ascii="Roboto" w:hAnsi="Roboto"/>
      </w:rPr>
      <w:t>Homeowners insurance is not a one size-fit-all product. Helping homeowners understand what is and is not covered is one way to demonstrate the value of having a State Farm® agent.</w:t>
    </w:r>
  </w:p>
  <w:p w:rsidR="005F2078" w:rsidRDefault="005F2078" w:rsidP="005F20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2088"/>
    <w:multiLevelType w:val="hybridMultilevel"/>
    <w:tmpl w:val="717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C42C80"/>
    <w:multiLevelType w:val="hybridMultilevel"/>
    <w:tmpl w:val="C246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8"/>
    <w:rsid w:val="005F2078"/>
    <w:rsid w:val="0080135B"/>
    <w:rsid w:val="009C5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7CB490-F416-4CEA-9483-AD4F7961C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0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078"/>
  </w:style>
  <w:style w:type="paragraph" w:styleId="Footer">
    <w:name w:val="footer"/>
    <w:basedOn w:val="Normal"/>
    <w:link w:val="FooterChar"/>
    <w:uiPriority w:val="99"/>
    <w:unhideWhenUsed/>
    <w:rsid w:val="005F2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078"/>
  </w:style>
  <w:style w:type="paragraph" w:styleId="ListParagraph">
    <w:name w:val="List Paragraph"/>
    <w:basedOn w:val="Normal"/>
    <w:uiPriority w:val="34"/>
    <w:qFormat/>
    <w:rsid w:val="005F2078"/>
    <w:pPr>
      <w:ind w:left="720"/>
      <w:contextualSpacing/>
    </w:pPr>
  </w:style>
  <w:style w:type="table" w:styleId="TableGrid">
    <w:name w:val="Table Grid"/>
    <w:basedOn w:val="TableNormal"/>
    <w:uiPriority w:val="39"/>
    <w:rsid w:val="005F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State Farm Insurance Companies</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Idell Biles</dc:creator>
  <cp:keywords/>
  <dc:description/>
  <cp:lastModifiedBy>Idell Biles</cp:lastModifiedBy>
  <cp:revision>1</cp:revision>
  <dcterms:created xsi:type="dcterms:W3CDTF">2021-12-01T19:13:00Z</dcterms:created>
  <dcterms:modified xsi:type="dcterms:W3CDTF">2021-12-01T19:25:00Z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-1975058342</vt:i4>
  </property>
  <property fmtid="{D5CDD505-2E9C-101B-9397-08002B2CF9AE}" pid="3" name="_NewReviewCycle">
    <vt:lpwstr/>
  </property>
  <property fmtid="{D5CDD505-2E9C-101B-9397-08002B2CF9AE}" pid="4" name="_EmailSubject">
    <vt:lpwstr>Homeowner's Packet</vt:lpwstr>
  </property>
  <property fmtid="{D5CDD505-2E9C-101B-9397-08002B2CF9AE}" pid="5" name="_AuthorEmail">
    <vt:lpwstr>idell.biles.vab67b@statefarm.com</vt:lpwstr>
  </property>
  <property fmtid="{D5CDD505-2E9C-101B-9397-08002B2CF9AE}" pid="6" name="_AuthorEmailDisplayName">
    <vt:lpwstr>Idell Biles</vt:lpwstr>
  </property>
</Properties>
</file>